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23F4" w14:textId="77777777" w:rsidR="00CC7A1B" w:rsidRPr="00CC7A1B" w:rsidRDefault="009631F9" w:rsidP="00CC7A1B">
      <w:pPr>
        <w:tabs>
          <w:tab w:val="center" w:pos="4536"/>
          <w:tab w:val="right" w:pos="7938"/>
          <w:tab w:val="right" w:pos="9639"/>
        </w:tabs>
        <w:ind w:right="2"/>
        <w:rPr>
          <w:rFonts w:ascii="Arial" w:eastAsia="Batang" w:hAnsi="Arial" w:cs="Arial"/>
          <w:b/>
          <w:bCs/>
          <w:sz w:val="28"/>
          <w:szCs w:val="24"/>
          <w:lang w:val="en-GB"/>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170E" w:rsidRPr="00CA170E">
        <w:rPr>
          <w:rFonts w:ascii="Arial" w:eastAsia="Batang" w:hAnsi="Arial" w:cs="Arial"/>
          <w:b/>
          <w:bCs/>
          <w:sz w:val="28"/>
          <w:szCs w:val="24"/>
          <w:lang w:val="en-GB"/>
        </w:rPr>
        <w:t>3GPP TSG RAN WG1 #113</w:t>
      </w:r>
      <w:r w:rsidR="00CA170E">
        <w:rPr>
          <w:rFonts w:ascii="Arial" w:eastAsia="Batang" w:hAnsi="Arial" w:cs="Arial"/>
          <w:b/>
          <w:bCs/>
          <w:sz w:val="28"/>
          <w:szCs w:val="24"/>
          <w:lang w:val="en-GB"/>
        </w:rPr>
        <w:tab/>
      </w:r>
      <w:r w:rsidR="00CA170E">
        <w:rPr>
          <w:rFonts w:ascii="Arial" w:eastAsia="Batang" w:hAnsi="Arial" w:cs="Arial"/>
          <w:b/>
          <w:bCs/>
          <w:sz w:val="28"/>
          <w:szCs w:val="24"/>
          <w:lang w:val="en-GB"/>
        </w:rPr>
        <w:tab/>
      </w:r>
      <w:r w:rsidR="00CC7A1B" w:rsidRPr="00CC7A1B">
        <w:rPr>
          <w:rFonts w:ascii="Arial" w:eastAsia="Batang" w:hAnsi="Arial" w:cs="Arial"/>
          <w:b/>
          <w:bCs/>
          <w:sz w:val="28"/>
          <w:szCs w:val="24"/>
          <w:lang w:val="en-GB"/>
        </w:rPr>
        <w:t>R1-2304938</w:t>
      </w:r>
    </w:p>
    <w:p w14:paraId="1876D5C1" w14:textId="77777777" w:rsidR="00CA170E" w:rsidRPr="00CA170E" w:rsidRDefault="00CA170E" w:rsidP="00CA170E">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bookmarkStart w:id="0" w:name="_GoBack"/>
      <w:bookmarkEnd w:id="0"/>
      <w:r w:rsidRPr="00CA170E">
        <w:rPr>
          <w:rFonts w:ascii="Arial" w:eastAsia="MS Mincho" w:hAnsi="Arial" w:cs="Arial"/>
          <w:b/>
          <w:bCs/>
          <w:sz w:val="28"/>
          <w:szCs w:val="24"/>
          <w:lang w:val="en-GB" w:eastAsia="ja-JP"/>
        </w:rPr>
        <w:t>Incheon, Korea, May 22</w:t>
      </w:r>
      <w:r w:rsidRPr="00CA170E">
        <w:rPr>
          <w:rFonts w:ascii="Arial" w:eastAsia="MS Mincho" w:hAnsi="Arial" w:cs="Arial"/>
          <w:b/>
          <w:bCs/>
          <w:sz w:val="28"/>
          <w:szCs w:val="24"/>
          <w:vertAlign w:val="superscript"/>
          <w:lang w:val="en-GB" w:eastAsia="ja-JP"/>
        </w:rPr>
        <w:t>nd</w:t>
      </w:r>
      <w:r w:rsidRPr="00CA170E">
        <w:rPr>
          <w:rFonts w:ascii="Arial" w:eastAsia="MS Mincho" w:hAnsi="Arial" w:cs="Arial"/>
          <w:b/>
          <w:bCs/>
          <w:sz w:val="28"/>
          <w:szCs w:val="24"/>
          <w:lang w:val="en-GB" w:eastAsia="ja-JP"/>
        </w:rPr>
        <w:t xml:space="preserve"> – May 26</w:t>
      </w:r>
      <w:r w:rsidRPr="00CA170E">
        <w:rPr>
          <w:rFonts w:ascii="Arial" w:eastAsia="MS Mincho" w:hAnsi="Arial" w:cs="Arial"/>
          <w:b/>
          <w:bCs/>
          <w:sz w:val="28"/>
          <w:szCs w:val="24"/>
          <w:vertAlign w:val="superscript"/>
          <w:lang w:val="en-GB" w:eastAsia="ja-JP"/>
        </w:rPr>
        <w:t>th</w:t>
      </w:r>
      <w:r w:rsidRPr="00CA170E">
        <w:rPr>
          <w:rFonts w:ascii="Arial" w:eastAsia="MS Mincho" w:hAnsi="Arial" w:cs="Arial"/>
          <w:b/>
          <w:bCs/>
          <w:sz w:val="28"/>
          <w:szCs w:val="24"/>
          <w:lang w:val="en-GB" w:eastAsia="ja-JP"/>
        </w:rPr>
        <w:t>, 2023</w:t>
      </w:r>
    </w:p>
    <w:p w14:paraId="0F680BF8" w14:textId="403EF6EC" w:rsidR="00670B7E" w:rsidRPr="00AF21E9" w:rsidRDefault="00670B7E" w:rsidP="00CA170E">
      <w:pPr>
        <w:tabs>
          <w:tab w:val="center" w:pos="4536"/>
          <w:tab w:val="right" w:pos="7938"/>
          <w:tab w:val="right" w:pos="9639"/>
        </w:tabs>
        <w:ind w:right="2"/>
        <w:rPr>
          <w:b/>
          <w:color w:val="000000" w:themeColor="text1"/>
          <w:lang w:val="en-GB"/>
        </w:rPr>
      </w:pPr>
    </w:p>
    <w:p w14:paraId="45F57AEC" w14:textId="6BB6BC3F"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A170E">
        <w:rPr>
          <w:b/>
          <w:color w:val="000000" w:themeColor="text1"/>
        </w:rPr>
        <w:t>5</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F8F2B41"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CA170E" w:rsidRPr="00CA170E">
        <w:rPr>
          <w:b/>
          <w:color w:val="000000" w:themeColor="text1"/>
          <w:lang w:eastAsia="zh-CN"/>
        </w:rPr>
        <w:t>Collision handling between paging occasions and CG-SDT occasions for HD-FDD UEs</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49102E40" w:rsidR="00532D5E" w:rsidRDefault="00020EBA" w:rsidP="00966A51">
      <w:pPr>
        <w:rPr>
          <w:lang w:eastAsia="zh-CN"/>
        </w:rPr>
      </w:pPr>
      <w:r>
        <w:rPr>
          <w:rFonts w:hint="eastAsia"/>
          <w:lang w:eastAsia="zh-CN"/>
        </w:rPr>
        <w:t>F</w:t>
      </w:r>
      <w:r>
        <w:rPr>
          <w:lang w:eastAsia="zh-CN"/>
        </w:rPr>
        <w:t>or the collision handling between paging occasions and CG-SDT occasions for HD-FDD UEs, the related LS has been received from RAN2 as follows.</w:t>
      </w:r>
    </w:p>
    <w:tbl>
      <w:tblPr>
        <w:tblStyle w:val="afff0"/>
        <w:tblW w:w="0" w:type="auto"/>
        <w:tblLook w:val="04A0" w:firstRow="1" w:lastRow="0" w:firstColumn="1" w:lastColumn="0" w:noHBand="0" w:noVBand="1"/>
      </w:tblPr>
      <w:tblGrid>
        <w:gridCol w:w="9307"/>
      </w:tblGrid>
      <w:tr w:rsidR="00020EBA" w14:paraId="68D5BBFD" w14:textId="77777777" w:rsidTr="00020EBA">
        <w:tc>
          <w:tcPr>
            <w:tcW w:w="9307" w:type="dxa"/>
          </w:tcPr>
          <w:p w14:paraId="6A99D763" w14:textId="77777777" w:rsidR="00020EBA" w:rsidRDefault="00020EBA" w:rsidP="00020EBA">
            <w:pPr>
              <w:pStyle w:val="1"/>
              <w:numPr>
                <w:ilvl w:val="0"/>
                <w:numId w:val="0"/>
              </w:numPr>
              <w:ind w:left="432" w:hanging="432"/>
              <w:outlineLvl w:val="0"/>
            </w:pPr>
            <w:r>
              <w:t>1</w:t>
            </w:r>
            <w:r>
              <w:tab/>
              <w:t>Overall description</w:t>
            </w:r>
          </w:p>
          <w:p w14:paraId="2AE8E22F" w14:textId="77777777" w:rsidR="00020EBA" w:rsidRDefault="00020EBA" w:rsidP="00020EBA">
            <w:pPr>
              <w:rPr>
                <w:lang w:eastAsia="ja-JP"/>
              </w:rPr>
            </w:pPr>
            <w:r>
              <w:rPr>
                <w:rFonts w:hint="eastAsia"/>
                <w:lang w:eastAsia="ja-JP"/>
              </w:rPr>
              <w:t>R</w:t>
            </w:r>
            <w:r>
              <w:rPr>
                <w:lang w:eastAsia="ja-JP"/>
              </w:rPr>
              <w:t>AN2 has discussed possible clarifications on monitoring of paging occasions for</w:t>
            </w:r>
            <w:r w:rsidRPr="00FA06F9">
              <w:rPr>
                <w:lang w:eastAsia="ja-JP"/>
              </w:rPr>
              <w:t xml:space="preserve"> CG-SDT with HD-FDD Redcap UEs</w:t>
            </w:r>
            <w:r>
              <w:rPr>
                <w:lang w:eastAsia="ja-JP"/>
              </w:rPr>
              <w:t xml:space="preserve"> based on specification text in RAN2 and relevant sections in RAN1 and RAN4. </w:t>
            </w:r>
          </w:p>
          <w:p w14:paraId="4339EA29" w14:textId="77777777" w:rsidR="00020EBA" w:rsidRDefault="00020EBA" w:rsidP="00020EBA">
            <w:pPr>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14:paraId="1FD8EC81" w14:textId="77777777" w:rsidR="00020EBA" w:rsidRDefault="00020EBA" w:rsidP="00020EBA">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14:paraId="5FF5E0E3" w14:textId="77777777" w:rsidR="00020EBA" w:rsidRDefault="00020EBA" w:rsidP="00020EBA">
            <w:pPr>
              <w:rPr>
                <w:lang w:eastAsia="ja-JP"/>
              </w:rPr>
            </w:pPr>
            <w:r>
              <w:rPr>
                <w:lang w:eastAsia="ja-JP"/>
              </w:rPr>
              <w:t xml:space="preserve">Similar to connected mode </w:t>
            </w:r>
            <w:proofErr w:type="spellStart"/>
            <w:r>
              <w:rPr>
                <w:lang w:eastAsia="ja-JP"/>
              </w:rPr>
              <w:t>behaviour</w:t>
            </w:r>
            <w:proofErr w:type="spellEnd"/>
            <w:r>
              <w:rPr>
                <w:lang w:eastAsia="ja-JP"/>
              </w:rPr>
              <w:t xml:space="preserve">,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76C13E00" w14:textId="77777777" w:rsidR="00020EBA" w:rsidRDefault="00020EBA" w:rsidP="00020EBA">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p w14:paraId="6E748886" w14:textId="77777777" w:rsidR="00020EBA" w:rsidRDefault="00020EBA" w:rsidP="00020EBA">
            <w:pPr>
              <w:pStyle w:val="1"/>
              <w:numPr>
                <w:ilvl w:val="0"/>
                <w:numId w:val="0"/>
              </w:numPr>
              <w:ind w:left="432" w:hanging="432"/>
              <w:outlineLvl w:val="0"/>
            </w:pPr>
            <w:r>
              <w:t>2</w:t>
            </w:r>
            <w:r>
              <w:tab/>
              <w:t>Actions</w:t>
            </w:r>
          </w:p>
          <w:p w14:paraId="07A666B5" w14:textId="77777777" w:rsidR="00020EBA" w:rsidRDefault="00020EBA" w:rsidP="00020EBA">
            <w:pPr>
              <w:ind w:left="1985" w:hanging="1985"/>
              <w:rPr>
                <w:rFonts w:ascii="Arial" w:hAnsi="Arial" w:cs="Arial"/>
                <w:b/>
              </w:rPr>
            </w:pPr>
            <w:r>
              <w:rPr>
                <w:rFonts w:ascii="Arial" w:hAnsi="Arial" w:cs="Arial"/>
                <w:b/>
              </w:rPr>
              <w:t>To RAN WG1 and RAN WG4</w:t>
            </w:r>
          </w:p>
          <w:p w14:paraId="15BEE222" w14:textId="77777777" w:rsidR="00020EBA" w:rsidRPr="009A6572" w:rsidRDefault="00020EBA" w:rsidP="00020EBA">
            <w:pPr>
              <w:rPr>
                <w:lang w:eastAsia="ja-JP"/>
              </w:rPr>
            </w:pPr>
            <w:r>
              <w:rPr>
                <w:rFonts w:ascii="Arial" w:hAnsi="Arial" w:cs="Arial"/>
                <w:b/>
              </w:rPr>
              <w:t xml:space="preserve">ACTION: </w:t>
            </w:r>
            <w:r>
              <w:rPr>
                <w:rFonts w:ascii="Arial" w:hAnsi="Arial" w:cs="Arial"/>
                <w:b/>
              </w:rPr>
              <w:tab/>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 xml:space="preserve">understanding into account and discuss possible amendment on misalignment between RAN2 specifications and RAN1 and/or RAN4 specifications for </w:t>
            </w:r>
            <w:r w:rsidRPr="00FA06F9">
              <w:rPr>
                <w:lang w:eastAsia="ja-JP"/>
              </w:rPr>
              <w:t>CG-SDT with HD-FDD Redcap</w:t>
            </w:r>
            <w:r>
              <w:rPr>
                <w:bCs/>
              </w:rPr>
              <w:t>.</w:t>
            </w:r>
          </w:p>
          <w:p w14:paraId="15DA0A9C" w14:textId="77777777" w:rsidR="00020EBA" w:rsidRPr="00020EBA" w:rsidRDefault="00020EBA" w:rsidP="00966A51">
            <w:pPr>
              <w:rPr>
                <w:lang w:eastAsia="zh-CN"/>
              </w:rPr>
            </w:pPr>
          </w:p>
        </w:tc>
      </w:tr>
    </w:tbl>
    <w:p w14:paraId="0CCB224C" w14:textId="59245A74" w:rsidR="00020EBA" w:rsidRPr="00966A51" w:rsidRDefault="00020EBA" w:rsidP="00966A51">
      <w:pPr>
        <w:rPr>
          <w:lang w:eastAsia="zh-CN"/>
        </w:rPr>
      </w:pPr>
      <w:r>
        <w:rPr>
          <w:rFonts w:hint="eastAsia"/>
          <w:lang w:eastAsia="zh-CN"/>
        </w:rPr>
        <w:t>I</w:t>
      </w:r>
      <w:r>
        <w:rPr>
          <w:lang w:eastAsia="zh-CN"/>
        </w:rPr>
        <w:t xml:space="preserve">n this contribution, we will discuss the collision handling between paging occasions and CG-SDT occasions </w:t>
      </w:r>
      <w:r w:rsidR="000E27C8">
        <w:rPr>
          <w:lang w:eastAsia="zh-CN"/>
        </w:rPr>
        <w:t xml:space="preserve">for HD-FDD UEs </w:t>
      </w:r>
      <w:r>
        <w:rPr>
          <w:lang w:eastAsia="zh-CN"/>
        </w:rPr>
        <w:t xml:space="preserve">and give our </w:t>
      </w:r>
      <w:r w:rsidR="000E27C8">
        <w:rPr>
          <w:lang w:eastAsia="zh-CN"/>
        </w:rPr>
        <w:t>proposals</w:t>
      </w:r>
      <w:r>
        <w:rPr>
          <w:lang w:eastAsia="zh-CN"/>
        </w:rPr>
        <w:t>.</w:t>
      </w:r>
    </w:p>
    <w:p w14:paraId="1E68FF76" w14:textId="5B8973E7" w:rsidR="007E009F" w:rsidRPr="00AA0074" w:rsidRDefault="000B2FDD" w:rsidP="00FA4DAC">
      <w:pPr>
        <w:pStyle w:val="1"/>
      </w:pPr>
      <w:r w:rsidRPr="005A299A">
        <w:t>Discussion</w:t>
      </w:r>
    </w:p>
    <w:p w14:paraId="15EEFEB9" w14:textId="1F075A6E" w:rsidR="006609AA" w:rsidRPr="004F2655" w:rsidRDefault="004F3940" w:rsidP="004F2655">
      <w:pPr>
        <w:rPr>
          <w:rFonts w:ascii="Times" w:eastAsia="Batang" w:hAnsi="Times"/>
          <w:sz w:val="20"/>
          <w:szCs w:val="24"/>
          <w:lang w:val="en-GB"/>
        </w:rPr>
      </w:pPr>
      <w:r>
        <w:rPr>
          <w:lang w:eastAsia="zh-CN"/>
        </w:rPr>
        <w:t xml:space="preserve">During </w:t>
      </w:r>
      <w:r w:rsidR="004F2655">
        <w:rPr>
          <w:rFonts w:ascii="Times" w:eastAsia="Batang" w:hAnsi="Times"/>
          <w:sz w:val="20"/>
          <w:szCs w:val="24"/>
          <w:lang w:val="en-GB"/>
        </w:rPr>
        <w:t xml:space="preserve">RAN1#106bis-e meeting, the following agreement was achieved in Rel-17 RedCap WI phase on the collision handling between cell-specifically higher layer configured DL receptions and dedicated higher layer configured UL transmissions. </w:t>
      </w:r>
    </w:p>
    <w:tbl>
      <w:tblPr>
        <w:tblStyle w:val="afff0"/>
        <w:tblW w:w="0" w:type="auto"/>
        <w:tblLook w:val="04A0" w:firstRow="1" w:lastRow="0" w:firstColumn="1" w:lastColumn="0" w:noHBand="0" w:noVBand="1"/>
      </w:tblPr>
      <w:tblGrid>
        <w:gridCol w:w="9307"/>
      </w:tblGrid>
      <w:tr w:rsidR="004F2655" w14:paraId="154DA377" w14:textId="77777777" w:rsidTr="004F2655">
        <w:tc>
          <w:tcPr>
            <w:tcW w:w="9307" w:type="dxa"/>
          </w:tcPr>
          <w:p w14:paraId="10F8AADF" w14:textId="77777777" w:rsidR="004F2655" w:rsidRPr="004F2655" w:rsidRDefault="004F2655" w:rsidP="004F2655">
            <w:pPr>
              <w:autoSpaceDE/>
              <w:autoSpaceDN/>
              <w:adjustRightInd/>
              <w:snapToGrid/>
              <w:spacing w:after="0"/>
              <w:rPr>
                <w:rFonts w:eastAsia="Batang"/>
                <w:sz w:val="20"/>
                <w:szCs w:val="20"/>
                <w:highlight w:val="green"/>
              </w:rPr>
            </w:pPr>
            <w:r w:rsidRPr="004F2655">
              <w:rPr>
                <w:rFonts w:eastAsia="Batang"/>
                <w:sz w:val="20"/>
                <w:szCs w:val="20"/>
                <w:highlight w:val="green"/>
              </w:rPr>
              <w:t>Agreements:</w:t>
            </w:r>
            <w:r w:rsidRPr="004F2655">
              <w:rPr>
                <w:rFonts w:ascii="Times" w:eastAsia="Batang" w:hAnsi="Times" w:cs="Times"/>
                <w:color w:val="FF0000"/>
                <w:sz w:val="20"/>
                <w:szCs w:val="20"/>
                <w:lang w:val="en-GB"/>
              </w:rPr>
              <w:t xml:space="preserve"> [38.213]</w:t>
            </w:r>
          </w:p>
          <w:p w14:paraId="2EBFD630" w14:textId="77777777" w:rsidR="004F2655" w:rsidRPr="004F2655" w:rsidRDefault="004F2655" w:rsidP="004F2655">
            <w:pPr>
              <w:shd w:val="clear" w:color="auto" w:fill="FFFFFF"/>
              <w:autoSpaceDE/>
              <w:autoSpaceDN/>
              <w:adjustRightInd/>
              <w:snapToGrid/>
              <w:spacing w:after="0"/>
              <w:rPr>
                <w:rFonts w:eastAsia="Microsoft YaHei UI"/>
                <w:color w:val="000000"/>
                <w:sz w:val="20"/>
                <w:szCs w:val="20"/>
                <w:lang w:eastAsia="zh-CN"/>
              </w:rPr>
            </w:pPr>
            <w:r w:rsidRPr="004F2655">
              <w:rPr>
                <w:rFonts w:eastAsia="Microsoft YaHei UI"/>
                <w:color w:val="000000"/>
                <w:sz w:val="20"/>
                <w:szCs w:val="20"/>
                <w:lang w:eastAsia="zh-CN"/>
              </w:rPr>
              <w:t>Revise the RAN1#104bis-e agreement for Case 3 as the following</w:t>
            </w:r>
          </w:p>
          <w:p w14:paraId="1088BD3C" w14:textId="77777777" w:rsidR="004F2655" w:rsidRPr="004F2655" w:rsidRDefault="004F2655" w:rsidP="004F2655">
            <w:pPr>
              <w:numPr>
                <w:ilvl w:val="0"/>
                <w:numId w:val="42"/>
              </w:numPr>
              <w:shd w:val="clear" w:color="auto" w:fill="FFFFFF"/>
              <w:autoSpaceDE/>
              <w:autoSpaceDN/>
              <w:adjustRightInd/>
              <w:snapToGrid/>
              <w:spacing w:after="0" w:line="231" w:lineRule="atLeast"/>
              <w:jc w:val="left"/>
              <w:rPr>
                <w:rFonts w:eastAsia="Microsoft YaHei UI"/>
                <w:color w:val="000000"/>
                <w:sz w:val="20"/>
                <w:szCs w:val="20"/>
                <w:lang w:eastAsia="zh-CN"/>
              </w:rPr>
            </w:pPr>
            <w:r w:rsidRPr="004F2655">
              <w:rPr>
                <w:rFonts w:eastAsia="Microsoft YaHei UI"/>
                <w:color w:val="000000"/>
                <w:sz w:val="20"/>
                <w:szCs w:val="20"/>
                <w:lang w:eastAsia="zh-CN"/>
              </w:rPr>
              <w:t>For Case 3, semi-statically configured DL reception vs. semi-statically configured UL transmission</w:t>
            </w:r>
          </w:p>
          <w:p w14:paraId="68D0673C" w14:textId="77777777" w:rsidR="004F2655" w:rsidRPr="004F2655" w:rsidRDefault="004F2655" w:rsidP="004F2655">
            <w:pPr>
              <w:numPr>
                <w:ilvl w:val="1"/>
                <w:numId w:val="42"/>
              </w:numPr>
              <w:shd w:val="clear" w:color="auto" w:fill="FFFFFF"/>
              <w:autoSpaceDE/>
              <w:autoSpaceDN/>
              <w:adjustRightInd/>
              <w:snapToGrid/>
              <w:spacing w:after="0" w:line="231" w:lineRule="atLeast"/>
              <w:jc w:val="left"/>
              <w:rPr>
                <w:rFonts w:eastAsia="Microsoft YaHei UI"/>
                <w:color w:val="000000"/>
                <w:sz w:val="20"/>
                <w:szCs w:val="20"/>
                <w:lang w:eastAsia="zh-CN"/>
              </w:rPr>
            </w:pPr>
            <w:r w:rsidRPr="004F2655">
              <w:rPr>
                <w:rFonts w:eastAsia="Microsoft YaHei UI"/>
                <w:color w:val="000000"/>
                <w:sz w:val="20"/>
                <w:szCs w:val="20"/>
                <w:lang w:eastAsia="zh-CN"/>
              </w:rPr>
              <w:t xml:space="preserve">A HD-FDD UE does not expect to receive both dedicated higher layer parameters configuring </w:t>
            </w:r>
            <w:r w:rsidRPr="004F2655">
              <w:rPr>
                <w:rFonts w:eastAsia="Microsoft YaHei UI"/>
                <w:color w:val="000000"/>
                <w:sz w:val="20"/>
                <w:szCs w:val="20"/>
                <w:lang w:eastAsia="zh-CN"/>
              </w:rPr>
              <w:lastRenderedPageBreak/>
              <w:t>transmission from the UE in the set of symbols of the slot and dedicated higher layer parameters configuring reception in the set of symbols of the slot</w:t>
            </w:r>
          </w:p>
          <w:p w14:paraId="1E154ABB" w14:textId="77777777" w:rsidR="004F2655" w:rsidRPr="004F2655" w:rsidRDefault="004F2655" w:rsidP="004F2655">
            <w:pPr>
              <w:numPr>
                <w:ilvl w:val="1"/>
                <w:numId w:val="42"/>
              </w:numPr>
              <w:shd w:val="clear" w:color="auto" w:fill="FFFFFF"/>
              <w:autoSpaceDE/>
              <w:autoSpaceDN/>
              <w:adjustRightInd/>
              <w:snapToGrid/>
              <w:spacing w:after="0" w:line="231" w:lineRule="atLeast"/>
              <w:jc w:val="left"/>
              <w:rPr>
                <w:rFonts w:eastAsia="Microsoft YaHei UI"/>
                <w:color w:val="FF0000"/>
                <w:sz w:val="20"/>
                <w:szCs w:val="20"/>
                <w:lang w:eastAsia="zh-CN"/>
              </w:rPr>
            </w:pPr>
            <w:r w:rsidRPr="004F2655">
              <w:rPr>
                <w:rFonts w:eastAsia="Microsoft YaHei UI"/>
                <w:color w:val="FF0000"/>
                <w:sz w:val="20"/>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31E0AAEC" w14:textId="77777777" w:rsidR="004F2655" w:rsidRPr="004F2655" w:rsidRDefault="004F2655" w:rsidP="004F2655">
            <w:pPr>
              <w:numPr>
                <w:ilvl w:val="2"/>
                <w:numId w:val="42"/>
              </w:numPr>
              <w:shd w:val="clear" w:color="auto" w:fill="FFFFFF"/>
              <w:autoSpaceDE/>
              <w:autoSpaceDN/>
              <w:adjustRightInd/>
              <w:snapToGrid/>
              <w:spacing w:after="0" w:line="231" w:lineRule="atLeast"/>
              <w:jc w:val="left"/>
              <w:rPr>
                <w:rFonts w:eastAsia="Microsoft YaHei UI"/>
                <w:color w:val="FF0000"/>
                <w:sz w:val="20"/>
                <w:szCs w:val="20"/>
                <w:lang w:eastAsia="zh-CN"/>
              </w:rPr>
            </w:pPr>
            <w:r w:rsidRPr="004F2655">
              <w:rPr>
                <w:rFonts w:eastAsia="Microsoft YaHei UI"/>
                <w:color w:val="FF0000"/>
                <w:sz w:val="20"/>
                <w:szCs w:val="20"/>
                <w:lang w:eastAsia="zh-CN"/>
              </w:rPr>
              <w:t>Cell-specifically configured DL reception refers to PDCCH in Type-0/0A/1/2 CSS set</w:t>
            </w:r>
          </w:p>
          <w:p w14:paraId="1309E20D" w14:textId="77777777" w:rsidR="004F2655" w:rsidRPr="004F2655" w:rsidRDefault="004F2655" w:rsidP="004F2655">
            <w:pPr>
              <w:numPr>
                <w:ilvl w:val="1"/>
                <w:numId w:val="42"/>
              </w:numPr>
              <w:shd w:val="clear" w:color="auto" w:fill="FFFFFF"/>
              <w:autoSpaceDE/>
              <w:autoSpaceDN/>
              <w:adjustRightInd/>
              <w:snapToGrid/>
              <w:spacing w:after="0" w:line="231" w:lineRule="atLeast"/>
              <w:jc w:val="left"/>
              <w:rPr>
                <w:rFonts w:eastAsia="Microsoft YaHei UI"/>
                <w:color w:val="000000"/>
                <w:sz w:val="20"/>
                <w:szCs w:val="20"/>
                <w:lang w:eastAsia="zh-CN"/>
              </w:rPr>
            </w:pPr>
            <w:r w:rsidRPr="004F2655">
              <w:rPr>
                <w:rFonts w:eastAsia="Microsoft YaHei UI"/>
                <w:color w:val="000000"/>
                <w:sz w:val="20"/>
                <w:szCs w:val="20"/>
                <w:lang w:eastAsia="zh-CN"/>
              </w:rPr>
              <w:t>FFS: whether or not there are conditions that need to be considered</w:t>
            </w:r>
          </w:p>
          <w:p w14:paraId="1E71F841" w14:textId="77777777" w:rsidR="004F2655" w:rsidRPr="004F2655" w:rsidRDefault="004F2655" w:rsidP="00EA72EA">
            <w:pPr>
              <w:spacing w:after="0"/>
              <w:rPr>
                <w:b/>
                <w:sz w:val="21"/>
                <w:szCs w:val="21"/>
                <w:lang w:eastAsia="zh-CN"/>
              </w:rPr>
            </w:pPr>
          </w:p>
        </w:tc>
      </w:tr>
    </w:tbl>
    <w:p w14:paraId="225769C7" w14:textId="7824E93A" w:rsidR="006609AA" w:rsidRDefault="006609AA" w:rsidP="00EA72EA">
      <w:pPr>
        <w:spacing w:after="0"/>
        <w:rPr>
          <w:b/>
          <w:sz w:val="21"/>
          <w:szCs w:val="21"/>
          <w:lang w:eastAsia="zh-CN"/>
        </w:rPr>
      </w:pPr>
    </w:p>
    <w:p w14:paraId="63B16608" w14:textId="64927F5C" w:rsidR="004F2655" w:rsidRDefault="00DD5901" w:rsidP="00CC2390">
      <w:pPr>
        <w:spacing w:after="0"/>
        <w:rPr>
          <w:rFonts w:ascii="Times" w:eastAsia="Batang" w:hAnsi="Times"/>
          <w:sz w:val="20"/>
          <w:szCs w:val="24"/>
        </w:rPr>
      </w:pPr>
      <w:r w:rsidRPr="00DD5901">
        <w:rPr>
          <w:rFonts w:ascii="Times" w:eastAsia="Batang" w:hAnsi="Times"/>
          <w:sz w:val="20"/>
          <w:szCs w:val="24"/>
        </w:rPr>
        <w:t xml:space="preserve">Based on </w:t>
      </w:r>
      <w:r w:rsidR="000100AD">
        <w:rPr>
          <w:rFonts w:ascii="Times" w:eastAsia="Batang" w:hAnsi="Times"/>
          <w:sz w:val="20"/>
          <w:szCs w:val="24"/>
        </w:rPr>
        <w:t xml:space="preserve">high layer parameters of the </w:t>
      </w:r>
      <w:r w:rsidRPr="00DD5901">
        <w:rPr>
          <w:rFonts w:ascii="Times" w:eastAsia="Batang" w:hAnsi="Times"/>
          <w:sz w:val="20"/>
          <w:szCs w:val="24"/>
        </w:rPr>
        <w:t xml:space="preserve">cell-specific Type 1 CSS set, multiple paging occasions can be configured for multiple HD-FDD UEs. </w:t>
      </w:r>
      <w:r w:rsidR="000100AD">
        <w:rPr>
          <w:rFonts w:ascii="Times" w:eastAsia="Batang" w:hAnsi="Times"/>
          <w:sz w:val="20"/>
          <w:szCs w:val="24"/>
        </w:rPr>
        <w:t>According to the above agreement, r</w:t>
      </w:r>
      <w:r w:rsidRPr="00DD5901">
        <w:rPr>
          <w:rFonts w:ascii="Times" w:eastAsia="Batang" w:hAnsi="Times"/>
          <w:sz w:val="20"/>
          <w:szCs w:val="24"/>
        </w:rPr>
        <w:t xml:space="preserve">egardless of whether </w:t>
      </w:r>
      <w:r w:rsidR="00CC2390">
        <w:rPr>
          <w:rFonts w:ascii="Times" w:eastAsia="Batang" w:hAnsi="Times"/>
          <w:sz w:val="20"/>
          <w:szCs w:val="24"/>
        </w:rPr>
        <w:t>the</w:t>
      </w:r>
      <w:r w:rsidRPr="00DD5901">
        <w:rPr>
          <w:rFonts w:ascii="Times" w:eastAsia="Batang" w:hAnsi="Times"/>
          <w:sz w:val="20"/>
          <w:szCs w:val="24"/>
        </w:rPr>
        <w:t xml:space="preserve"> paging occasion belongs to a specific HD-FDD UE </w:t>
      </w:r>
      <w:r w:rsidR="000100AD">
        <w:rPr>
          <w:rFonts w:ascii="Times" w:eastAsia="Batang" w:hAnsi="Times"/>
          <w:sz w:val="20"/>
          <w:szCs w:val="24"/>
        </w:rPr>
        <w:t xml:space="preserve">or not, </w:t>
      </w:r>
      <w:r w:rsidR="00903CF9">
        <w:rPr>
          <w:rFonts w:ascii="Times" w:eastAsia="Batang" w:hAnsi="Times"/>
          <w:sz w:val="20"/>
          <w:szCs w:val="24"/>
        </w:rPr>
        <w:t>it should</w:t>
      </w:r>
      <w:r w:rsidR="009C11A3">
        <w:rPr>
          <w:rFonts w:ascii="Times" w:eastAsia="Batang" w:hAnsi="Times"/>
          <w:sz w:val="20"/>
          <w:szCs w:val="24"/>
        </w:rPr>
        <w:t xml:space="preserve"> be </w:t>
      </w:r>
      <w:r w:rsidR="00903CF9">
        <w:rPr>
          <w:rFonts w:ascii="Times" w:eastAsia="Batang" w:hAnsi="Times"/>
          <w:sz w:val="20"/>
          <w:szCs w:val="24"/>
        </w:rPr>
        <w:t>achieved</w:t>
      </w:r>
      <w:r w:rsidR="009C11A3">
        <w:rPr>
          <w:rFonts w:ascii="Times" w:eastAsia="Batang" w:hAnsi="Times"/>
          <w:sz w:val="20"/>
          <w:szCs w:val="24"/>
        </w:rPr>
        <w:t xml:space="preserve"> by the gNB configuration to avoid </w:t>
      </w:r>
      <w:r w:rsidR="000100AD">
        <w:rPr>
          <w:rFonts w:ascii="Times" w:eastAsia="Batang" w:hAnsi="Times"/>
          <w:sz w:val="20"/>
          <w:szCs w:val="24"/>
        </w:rPr>
        <w:t>the</w:t>
      </w:r>
      <w:r w:rsidR="00903CF9">
        <w:rPr>
          <w:rFonts w:ascii="Times" w:eastAsia="Batang" w:hAnsi="Times"/>
          <w:sz w:val="20"/>
          <w:szCs w:val="24"/>
        </w:rPr>
        <w:t xml:space="preserve"> collision between th</w:t>
      </w:r>
      <w:r w:rsidR="00CC2390">
        <w:rPr>
          <w:rFonts w:ascii="Times" w:eastAsia="Batang" w:hAnsi="Times"/>
          <w:sz w:val="20"/>
          <w:szCs w:val="24"/>
        </w:rPr>
        <w:t>e</w:t>
      </w:r>
      <w:r w:rsidRPr="00DD5901">
        <w:rPr>
          <w:rFonts w:ascii="Times" w:eastAsia="Batang" w:hAnsi="Times"/>
          <w:sz w:val="20"/>
          <w:szCs w:val="24"/>
        </w:rPr>
        <w:t xml:space="preserve"> </w:t>
      </w:r>
      <w:r w:rsidR="000100AD">
        <w:rPr>
          <w:rFonts w:ascii="Times" w:eastAsia="Batang" w:hAnsi="Times"/>
          <w:sz w:val="20"/>
          <w:szCs w:val="24"/>
        </w:rPr>
        <w:t xml:space="preserve">paging </w:t>
      </w:r>
      <w:r w:rsidR="00903CF9">
        <w:rPr>
          <w:rFonts w:ascii="Times" w:eastAsia="Batang" w:hAnsi="Times"/>
          <w:sz w:val="20"/>
          <w:szCs w:val="24"/>
        </w:rPr>
        <w:t>occasion and th</w:t>
      </w:r>
      <w:r w:rsidR="00CC2390">
        <w:rPr>
          <w:rFonts w:ascii="Times" w:eastAsia="Batang" w:hAnsi="Times"/>
          <w:sz w:val="20"/>
          <w:szCs w:val="24"/>
        </w:rPr>
        <w:t>e</w:t>
      </w:r>
      <w:r w:rsidR="00903CF9">
        <w:rPr>
          <w:rFonts w:ascii="Times" w:eastAsia="Batang" w:hAnsi="Times"/>
          <w:sz w:val="20"/>
          <w:szCs w:val="24"/>
        </w:rPr>
        <w:t xml:space="preserve"> </w:t>
      </w:r>
      <w:r w:rsidRPr="00DD5901">
        <w:rPr>
          <w:rFonts w:ascii="Times" w:eastAsia="Batang" w:hAnsi="Times"/>
          <w:sz w:val="20"/>
          <w:szCs w:val="24"/>
        </w:rPr>
        <w:t xml:space="preserve">UE's </w:t>
      </w:r>
      <w:r w:rsidR="000100AD">
        <w:rPr>
          <w:rFonts w:ascii="Times" w:eastAsia="Batang" w:hAnsi="Times"/>
          <w:sz w:val="20"/>
          <w:szCs w:val="24"/>
        </w:rPr>
        <w:t>dedicated</w:t>
      </w:r>
      <w:r w:rsidRPr="00DD5901">
        <w:rPr>
          <w:rFonts w:ascii="Times" w:eastAsia="Batang" w:hAnsi="Times"/>
          <w:sz w:val="20"/>
          <w:szCs w:val="24"/>
        </w:rPr>
        <w:t xml:space="preserve"> CG PUSCH occasion</w:t>
      </w:r>
      <w:r w:rsidR="009C11A3">
        <w:rPr>
          <w:rFonts w:ascii="Times" w:eastAsia="Batang" w:hAnsi="Times"/>
          <w:sz w:val="20"/>
          <w:szCs w:val="24"/>
        </w:rPr>
        <w:t xml:space="preserve">. </w:t>
      </w:r>
      <w:r w:rsidR="00C5189F">
        <w:rPr>
          <w:rFonts w:ascii="Times" w:eastAsia="Batang" w:hAnsi="Times"/>
          <w:sz w:val="20"/>
          <w:szCs w:val="24"/>
        </w:rPr>
        <w:t>I</w:t>
      </w:r>
      <w:r w:rsidR="00CC2390">
        <w:rPr>
          <w:rFonts w:ascii="Times" w:eastAsia="Batang" w:hAnsi="Times"/>
          <w:sz w:val="20"/>
          <w:szCs w:val="24"/>
        </w:rPr>
        <w:t>n our opinion</w:t>
      </w:r>
      <w:r w:rsidR="00CC2390" w:rsidRPr="00CC2390">
        <w:rPr>
          <w:rFonts w:ascii="Times" w:eastAsia="Batang" w:hAnsi="Times"/>
          <w:sz w:val="20"/>
          <w:szCs w:val="24"/>
        </w:rPr>
        <w:t>, the a</w:t>
      </w:r>
      <w:r w:rsidR="00CC2390">
        <w:rPr>
          <w:rFonts w:ascii="Times" w:eastAsia="Batang" w:hAnsi="Times"/>
          <w:sz w:val="20"/>
          <w:szCs w:val="24"/>
        </w:rPr>
        <w:t>pplication of the above collision handling rule</w:t>
      </w:r>
      <w:r w:rsidR="00CC2390" w:rsidRPr="00CC2390">
        <w:rPr>
          <w:rFonts w:ascii="Times" w:eastAsia="Batang" w:hAnsi="Times"/>
          <w:sz w:val="20"/>
          <w:szCs w:val="24"/>
        </w:rPr>
        <w:t xml:space="preserve"> does not need to distinguish </w:t>
      </w:r>
      <w:r w:rsidR="00CC2390">
        <w:rPr>
          <w:rFonts w:ascii="Times" w:eastAsia="Batang" w:hAnsi="Times"/>
          <w:sz w:val="20"/>
          <w:szCs w:val="24"/>
        </w:rPr>
        <w:t>the RRC state</w:t>
      </w:r>
      <w:r w:rsidR="00655F4D">
        <w:rPr>
          <w:rFonts w:ascii="Times" w:eastAsia="Batang" w:hAnsi="Times"/>
          <w:sz w:val="20"/>
          <w:szCs w:val="24"/>
        </w:rPr>
        <w:t xml:space="preserve">, and </w:t>
      </w:r>
      <w:r>
        <w:rPr>
          <w:rFonts w:ascii="Times" w:eastAsia="Batang" w:hAnsi="Times"/>
          <w:sz w:val="20"/>
          <w:szCs w:val="24"/>
        </w:rPr>
        <w:t xml:space="preserve">it </w:t>
      </w:r>
      <w:r w:rsidR="00903CF9">
        <w:rPr>
          <w:rFonts w:ascii="Times" w:eastAsia="Batang" w:hAnsi="Times"/>
          <w:sz w:val="20"/>
          <w:szCs w:val="24"/>
        </w:rPr>
        <w:t xml:space="preserve">is </w:t>
      </w:r>
      <w:r w:rsidR="00854AE6">
        <w:rPr>
          <w:rFonts w:ascii="Times" w:eastAsia="Batang" w:hAnsi="Times"/>
          <w:sz w:val="20"/>
          <w:szCs w:val="24"/>
        </w:rPr>
        <w:t>not necessary</w:t>
      </w:r>
      <w:r w:rsidR="000100AD">
        <w:rPr>
          <w:rFonts w:ascii="Times" w:eastAsia="Batang" w:hAnsi="Times"/>
          <w:sz w:val="20"/>
          <w:szCs w:val="24"/>
        </w:rPr>
        <w:t xml:space="preserve"> </w:t>
      </w:r>
      <w:r w:rsidRPr="00DD5901">
        <w:rPr>
          <w:rFonts w:ascii="Times" w:eastAsia="Batang" w:hAnsi="Times"/>
          <w:sz w:val="20"/>
          <w:szCs w:val="24"/>
        </w:rPr>
        <w:t xml:space="preserve">to make </w:t>
      </w:r>
      <w:r w:rsidR="00903CF9">
        <w:rPr>
          <w:rFonts w:ascii="Times" w:eastAsia="Batang" w:hAnsi="Times"/>
          <w:sz w:val="20"/>
          <w:szCs w:val="24"/>
        </w:rPr>
        <w:t>duplicating</w:t>
      </w:r>
      <w:r w:rsidR="009C11A3">
        <w:rPr>
          <w:rFonts w:ascii="Times" w:eastAsia="Batang" w:hAnsi="Times"/>
          <w:sz w:val="20"/>
          <w:szCs w:val="24"/>
        </w:rPr>
        <w:t xml:space="preserve"> </w:t>
      </w:r>
      <w:r>
        <w:rPr>
          <w:rFonts w:ascii="Times" w:eastAsia="Batang" w:hAnsi="Times"/>
          <w:sz w:val="20"/>
          <w:szCs w:val="24"/>
        </w:rPr>
        <w:t xml:space="preserve">efforts </w:t>
      </w:r>
      <w:r w:rsidR="00903CF9">
        <w:rPr>
          <w:rFonts w:ascii="Times" w:eastAsia="Batang" w:hAnsi="Times"/>
          <w:sz w:val="20"/>
          <w:szCs w:val="24"/>
        </w:rPr>
        <w:t xml:space="preserve">on </w:t>
      </w:r>
      <w:r w:rsidR="000100AD">
        <w:rPr>
          <w:rFonts w:ascii="Times" w:eastAsia="Batang" w:hAnsi="Times"/>
          <w:sz w:val="20"/>
          <w:szCs w:val="24"/>
        </w:rPr>
        <w:t xml:space="preserve">issues that </w:t>
      </w:r>
      <w:r w:rsidR="00655F4D">
        <w:rPr>
          <w:rFonts w:ascii="Times" w:eastAsia="Batang" w:hAnsi="Times"/>
          <w:sz w:val="20"/>
          <w:szCs w:val="24"/>
        </w:rPr>
        <w:t xml:space="preserve">have </w:t>
      </w:r>
      <w:r w:rsidR="000100AD">
        <w:rPr>
          <w:rFonts w:ascii="Times" w:eastAsia="Batang" w:hAnsi="Times"/>
          <w:sz w:val="20"/>
          <w:szCs w:val="24"/>
        </w:rPr>
        <w:t xml:space="preserve">already </w:t>
      </w:r>
      <w:r w:rsidR="00903CF9">
        <w:rPr>
          <w:rFonts w:ascii="Times" w:eastAsia="Batang" w:hAnsi="Times"/>
          <w:sz w:val="20"/>
          <w:szCs w:val="24"/>
        </w:rPr>
        <w:t>reached</w:t>
      </w:r>
      <w:r w:rsidR="00655F4D">
        <w:rPr>
          <w:rFonts w:ascii="Times" w:eastAsia="Batang" w:hAnsi="Times"/>
          <w:sz w:val="20"/>
          <w:szCs w:val="24"/>
        </w:rPr>
        <w:t xml:space="preserve"> </w:t>
      </w:r>
      <w:r w:rsidR="000100AD">
        <w:rPr>
          <w:rFonts w:ascii="Times" w:eastAsia="Batang" w:hAnsi="Times"/>
          <w:sz w:val="20"/>
          <w:szCs w:val="24"/>
        </w:rPr>
        <w:t>agreement</w:t>
      </w:r>
      <w:r w:rsidR="00655F4D">
        <w:rPr>
          <w:rFonts w:ascii="Times" w:eastAsia="Batang" w:hAnsi="Times"/>
          <w:sz w:val="20"/>
          <w:szCs w:val="24"/>
        </w:rPr>
        <w:t>s</w:t>
      </w:r>
      <w:r w:rsidR="00CC2390">
        <w:rPr>
          <w:rFonts w:ascii="Times" w:eastAsia="Batang" w:hAnsi="Times"/>
          <w:sz w:val="20"/>
          <w:szCs w:val="24"/>
        </w:rPr>
        <w:t xml:space="preserve">. </w:t>
      </w:r>
      <w:r w:rsidR="00655F4D">
        <w:rPr>
          <w:rFonts w:ascii="Times" w:eastAsia="Batang" w:hAnsi="Times"/>
          <w:sz w:val="20"/>
          <w:szCs w:val="24"/>
        </w:rPr>
        <w:t>So, we propose to reuse the same rule for</w:t>
      </w:r>
      <w:r w:rsidR="00655F4D" w:rsidRPr="00CC2390">
        <w:rPr>
          <w:rFonts w:ascii="Times" w:eastAsia="Batang" w:hAnsi="Times"/>
          <w:sz w:val="20"/>
          <w:szCs w:val="24"/>
        </w:rPr>
        <w:t xml:space="preserve"> CG-SDT PUSCH</w:t>
      </w:r>
      <w:r w:rsidR="00655F4D">
        <w:rPr>
          <w:rFonts w:ascii="Times" w:eastAsia="Batang" w:hAnsi="Times"/>
          <w:sz w:val="20"/>
          <w:szCs w:val="24"/>
        </w:rPr>
        <w:t xml:space="preserve"> and no spec change is needed. </w:t>
      </w:r>
    </w:p>
    <w:p w14:paraId="053EA6D8" w14:textId="4F936C28" w:rsidR="00837401" w:rsidRDefault="00837401" w:rsidP="00CC2390">
      <w:pPr>
        <w:spacing w:after="0"/>
        <w:rPr>
          <w:rFonts w:ascii="Times" w:eastAsia="Batang" w:hAnsi="Times"/>
          <w:sz w:val="20"/>
          <w:szCs w:val="24"/>
        </w:rPr>
      </w:pPr>
    </w:p>
    <w:p w14:paraId="609CA0C9" w14:textId="77777777" w:rsidR="004F2655" w:rsidRDefault="004F2655" w:rsidP="00EA72EA">
      <w:pPr>
        <w:spacing w:after="0"/>
        <w:rPr>
          <w:b/>
          <w:sz w:val="21"/>
          <w:szCs w:val="21"/>
          <w:lang w:eastAsia="zh-CN"/>
        </w:rPr>
      </w:pPr>
    </w:p>
    <w:p w14:paraId="3D65A832" w14:textId="4F736D3B" w:rsidR="00020EBA" w:rsidRDefault="00020EBA" w:rsidP="00EA72EA">
      <w:pPr>
        <w:spacing w:after="0"/>
        <w:rPr>
          <w:b/>
          <w:sz w:val="21"/>
          <w:szCs w:val="21"/>
          <w:lang w:eastAsia="zh-CN"/>
        </w:rPr>
      </w:pPr>
      <w:r>
        <w:rPr>
          <w:rFonts w:hint="eastAsia"/>
          <w:b/>
          <w:sz w:val="21"/>
          <w:szCs w:val="21"/>
          <w:lang w:eastAsia="zh-CN"/>
        </w:rPr>
        <w:t>P</w:t>
      </w:r>
      <w:r>
        <w:rPr>
          <w:b/>
          <w:sz w:val="21"/>
          <w:szCs w:val="21"/>
          <w:lang w:eastAsia="zh-CN"/>
        </w:rPr>
        <w:t xml:space="preserve">roposal 1: Send an LS to RAN2 </w:t>
      </w:r>
      <w:r w:rsidR="00FC5985">
        <w:rPr>
          <w:b/>
          <w:sz w:val="21"/>
          <w:szCs w:val="21"/>
          <w:lang w:eastAsia="zh-CN"/>
        </w:rPr>
        <w:t xml:space="preserve">and RAN4 </w:t>
      </w:r>
      <w:r>
        <w:rPr>
          <w:b/>
          <w:sz w:val="21"/>
          <w:szCs w:val="21"/>
          <w:lang w:eastAsia="zh-CN"/>
        </w:rPr>
        <w:t xml:space="preserve">to clarify that, the collision between any paging PDCCH monitoring occasions and CG-SDT PUSCH occasions </w:t>
      </w:r>
      <w:r w:rsidR="00094887">
        <w:rPr>
          <w:b/>
          <w:sz w:val="21"/>
          <w:szCs w:val="21"/>
          <w:lang w:eastAsia="zh-CN"/>
        </w:rPr>
        <w:t>should</w:t>
      </w:r>
      <w:r>
        <w:rPr>
          <w:b/>
          <w:sz w:val="21"/>
          <w:szCs w:val="21"/>
          <w:lang w:eastAsia="zh-CN"/>
        </w:rPr>
        <w:t xml:space="preserve"> be avoided by </w:t>
      </w:r>
      <w:r>
        <w:rPr>
          <w:rFonts w:hint="eastAsia"/>
          <w:b/>
          <w:sz w:val="21"/>
          <w:szCs w:val="21"/>
          <w:lang w:eastAsia="zh-CN"/>
        </w:rPr>
        <w:t>g</w:t>
      </w:r>
      <w:r>
        <w:rPr>
          <w:b/>
          <w:sz w:val="21"/>
          <w:szCs w:val="21"/>
          <w:lang w:eastAsia="zh-CN"/>
        </w:rPr>
        <w:t>NB configuration</w:t>
      </w:r>
      <w:r w:rsidR="004F3940">
        <w:rPr>
          <w:rFonts w:hint="eastAsia"/>
          <w:b/>
          <w:sz w:val="21"/>
          <w:szCs w:val="21"/>
          <w:lang w:eastAsia="zh-CN"/>
        </w:rPr>
        <w:t>,</w:t>
      </w:r>
      <w:r w:rsidR="004F3940">
        <w:rPr>
          <w:b/>
          <w:sz w:val="21"/>
          <w:szCs w:val="21"/>
          <w:lang w:eastAsia="zh-CN"/>
        </w:rPr>
        <w:t xml:space="preserve"> and</w:t>
      </w:r>
      <w:r>
        <w:rPr>
          <w:b/>
          <w:sz w:val="21"/>
          <w:szCs w:val="21"/>
          <w:lang w:eastAsia="zh-CN"/>
        </w:rPr>
        <w:t xml:space="preserve"> further </w:t>
      </w:r>
      <w:r w:rsidR="00837401">
        <w:rPr>
          <w:b/>
          <w:sz w:val="21"/>
          <w:szCs w:val="21"/>
          <w:lang w:eastAsia="zh-CN"/>
        </w:rPr>
        <w:t>RAN1 specification change is not necessary.</w:t>
      </w:r>
      <w:r w:rsidR="00FC5985">
        <w:rPr>
          <w:b/>
          <w:sz w:val="21"/>
          <w:szCs w:val="21"/>
          <w:lang w:eastAsia="zh-CN"/>
        </w:rPr>
        <w:t xml:space="preserve"> </w:t>
      </w:r>
    </w:p>
    <w:p w14:paraId="600D906F" w14:textId="77777777" w:rsidR="00FC5985" w:rsidRPr="006609AA" w:rsidRDefault="00FC5985" w:rsidP="00EA72EA">
      <w:pPr>
        <w:spacing w:after="0"/>
        <w:rPr>
          <w:b/>
          <w:sz w:val="21"/>
          <w:szCs w:val="21"/>
          <w:lang w:eastAsia="zh-CN"/>
        </w:rPr>
      </w:pPr>
    </w:p>
    <w:p w14:paraId="6715BD0E" w14:textId="12094E4C" w:rsidR="00EA72EA" w:rsidRDefault="00B71D0C" w:rsidP="00EA72EA">
      <w:pPr>
        <w:pStyle w:val="1"/>
        <w:numPr>
          <w:ilvl w:val="0"/>
          <w:numId w:val="0"/>
        </w:numPr>
        <w:ind w:left="432"/>
      </w:pPr>
      <w:r>
        <w:t>Conclusion</w:t>
      </w:r>
    </w:p>
    <w:p w14:paraId="0A0D7E52" w14:textId="799D9A76" w:rsidR="00B71D0C" w:rsidRDefault="00B71D0C" w:rsidP="00B71D0C">
      <w:pPr>
        <w:rPr>
          <w:lang w:eastAsia="zh-CN"/>
        </w:rPr>
      </w:pPr>
      <w:r>
        <w:rPr>
          <w:rFonts w:hint="eastAsia"/>
          <w:lang w:eastAsia="zh-CN"/>
        </w:rPr>
        <w:t>I</w:t>
      </w:r>
      <w:r>
        <w:rPr>
          <w:lang w:eastAsia="zh-CN"/>
        </w:rPr>
        <w:t>n this contribution, we discuss collision handling between paging occasions and CG-SDT occasions for HD-FDD UEs. Based on the discussion, our views are summarized as follows.</w:t>
      </w:r>
    </w:p>
    <w:p w14:paraId="2E3B9DC6" w14:textId="77777777" w:rsidR="00B71D0C" w:rsidRPr="00B71D0C" w:rsidRDefault="00B71D0C" w:rsidP="00B71D0C">
      <w:pPr>
        <w:rPr>
          <w:lang w:eastAsia="zh-CN"/>
        </w:rPr>
      </w:pPr>
    </w:p>
    <w:p w14:paraId="67B4F865" w14:textId="19494F39" w:rsidR="00714082" w:rsidRDefault="00714082" w:rsidP="00714082">
      <w:pPr>
        <w:spacing w:after="0"/>
        <w:rPr>
          <w:b/>
          <w:sz w:val="21"/>
          <w:szCs w:val="21"/>
          <w:lang w:eastAsia="zh-CN"/>
        </w:rPr>
      </w:pPr>
      <w:r>
        <w:rPr>
          <w:rFonts w:hint="eastAsia"/>
          <w:b/>
          <w:sz w:val="21"/>
          <w:szCs w:val="21"/>
          <w:lang w:eastAsia="zh-CN"/>
        </w:rPr>
        <w:t>P</w:t>
      </w:r>
      <w:r>
        <w:rPr>
          <w:b/>
          <w:sz w:val="21"/>
          <w:szCs w:val="21"/>
          <w:lang w:eastAsia="zh-CN"/>
        </w:rPr>
        <w:t xml:space="preserve">roposal 1: Send an LS to RAN2 and RAN4 to clarify that, the collision between any paging PDCCH monitoring occasions and CG-SDT PUSCH occasions should be avoided by </w:t>
      </w:r>
      <w:r>
        <w:rPr>
          <w:rFonts w:hint="eastAsia"/>
          <w:b/>
          <w:sz w:val="21"/>
          <w:szCs w:val="21"/>
          <w:lang w:eastAsia="zh-CN"/>
        </w:rPr>
        <w:t>g</w:t>
      </w:r>
      <w:r>
        <w:rPr>
          <w:b/>
          <w:sz w:val="21"/>
          <w:szCs w:val="21"/>
          <w:lang w:eastAsia="zh-CN"/>
        </w:rPr>
        <w:t>NB configuration</w:t>
      </w:r>
      <w:r>
        <w:rPr>
          <w:rFonts w:hint="eastAsia"/>
          <w:b/>
          <w:sz w:val="21"/>
          <w:szCs w:val="21"/>
          <w:lang w:eastAsia="zh-CN"/>
        </w:rPr>
        <w:t>,</w:t>
      </w:r>
      <w:r>
        <w:rPr>
          <w:b/>
          <w:sz w:val="21"/>
          <w:szCs w:val="21"/>
          <w:lang w:eastAsia="zh-CN"/>
        </w:rPr>
        <w:t xml:space="preserve"> and further RAN1 specification change is not necessary. </w:t>
      </w:r>
    </w:p>
    <w:p w14:paraId="67BA18F5" w14:textId="77777777" w:rsidR="000A09DC" w:rsidRPr="00714082" w:rsidRDefault="000A09DC" w:rsidP="00840EC6">
      <w:pPr>
        <w:widowControl w:val="0"/>
        <w:autoSpaceDE/>
        <w:adjustRightInd/>
        <w:snapToGrid/>
        <w:rPr>
          <w:lang w:eastAsia="zh-CN"/>
        </w:rPr>
      </w:pPr>
    </w:p>
    <w:sectPr w:rsidR="000A09DC" w:rsidRPr="00714082">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077CA" w14:textId="77777777" w:rsidR="0025158D" w:rsidRDefault="0025158D" w:rsidP="00921B36">
      <w:pPr>
        <w:spacing w:after="0"/>
      </w:pPr>
      <w:r>
        <w:separator/>
      </w:r>
    </w:p>
  </w:endnote>
  <w:endnote w:type="continuationSeparator" w:id="0">
    <w:p w14:paraId="287A9D97" w14:textId="77777777" w:rsidR="0025158D" w:rsidRDefault="0025158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160FE0" w:rsidRDefault="00160FE0">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160FE0" w:rsidRDefault="00160FE0">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160FE0" w:rsidRDefault="00160FE0">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93084" w14:textId="77777777" w:rsidR="0025158D" w:rsidRDefault="0025158D" w:rsidP="00921B36">
      <w:pPr>
        <w:spacing w:after="0"/>
      </w:pPr>
      <w:r>
        <w:separator/>
      </w:r>
    </w:p>
  </w:footnote>
  <w:footnote w:type="continuationSeparator" w:id="0">
    <w:p w14:paraId="06BDCAB2" w14:textId="77777777" w:rsidR="0025158D" w:rsidRDefault="0025158D"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160FE0" w:rsidRDefault="00160FE0">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1"/>
  </w:num>
  <w:num w:numId="3">
    <w:abstractNumId w:val="0"/>
  </w:num>
  <w:num w:numId="4">
    <w:abstractNumId w:val="17"/>
  </w:num>
  <w:num w:numId="5">
    <w:abstractNumId w:val="39"/>
  </w:num>
  <w:num w:numId="6">
    <w:abstractNumId w:val="34"/>
  </w:num>
  <w:num w:numId="7">
    <w:abstractNumId w:val="19"/>
  </w:num>
  <w:num w:numId="8">
    <w:abstractNumId w:val="35"/>
  </w:num>
  <w:num w:numId="9">
    <w:abstractNumId w:val="6"/>
  </w:num>
  <w:num w:numId="10">
    <w:abstractNumId w:val="20"/>
  </w:num>
  <w:num w:numId="11">
    <w:abstractNumId w:val="22"/>
  </w:num>
  <w:num w:numId="12">
    <w:abstractNumId w:val="40"/>
  </w:num>
  <w:num w:numId="13">
    <w:abstractNumId w:val="23"/>
  </w:num>
  <w:num w:numId="14">
    <w:abstractNumId w:val="36"/>
  </w:num>
  <w:num w:numId="15">
    <w:abstractNumId w:val="18"/>
  </w:num>
  <w:num w:numId="16">
    <w:abstractNumId w:val="27"/>
  </w:num>
  <w:num w:numId="17">
    <w:abstractNumId w:val="21"/>
  </w:num>
  <w:num w:numId="18">
    <w:abstractNumId w:val="12"/>
  </w:num>
  <w:num w:numId="19">
    <w:abstractNumId w:val="2"/>
  </w:num>
  <w:num w:numId="20">
    <w:abstractNumId w:val="5"/>
  </w:num>
  <w:num w:numId="21">
    <w:abstractNumId w:val="24"/>
  </w:num>
  <w:num w:numId="22">
    <w:abstractNumId w:val="25"/>
  </w:num>
  <w:num w:numId="23">
    <w:abstractNumId w:val="13"/>
  </w:num>
  <w:num w:numId="24">
    <w:abstractNumId w:val="16"/>
  </w:num>
  <w:num w:numId="25">
    <w:abstractNumId w:val="15"/>
  </w:num>
  <w:num w:numId="26">
    <w:abstractNumId w:val="11"/>
  </w:num>
  <w:num w:numId="27">
    <w:abstractNumId w:val="33"/>
  </w:num>
  <w:num w:numId="28">
    <w:abstractNumId w:val="3"/>
  </w:num>
  <w:num w:numId="29">
    <w:abstractNumId w:val="14"/>
  </w:num>
  <w:num w:numId="30">
    <w:abstractNumId w:val="1"/>
  </w:num>
  <w:num w:numId="31">
    <w:abstractNumId w:val="29"/>
  </w:num>
  <w:num w:numId="32">
    <w:abstractNumId w:val="28"/>
  </w:num>
  <w:num w:numId="33">
    <w:abstractNumId w:val="7"/>
  </w:num>
  <w:num w:numId="34">
    <w:abstractNumId w:val="4"/>
  </w:num>
  <w:num w:numId="35">
    <w:abstractNumId w:val="9"/>
  </w:num>
  <w:num w:numId="36">
    <w:abstractNumId w:val="10"/>
  </w:num>
  <w:num w:numId="37">
    <w:abstractNumId w:val="37"/>
  </w:num>
  <w:num w:numId="38">
    <w:abstractNumId w:val="8"/>
  </w:num>
  <w:num w:numId="39">
    <w:abstractNumId w:val="32"/>
  </w:num>
  <w:num w:numId="40">
    <w:abstractNumId w:val="30"/>
  </w:num>
  <w:num w:numId="41">
    <w:abstractNumId w:val="26"/>
  </w:num>
  <w:num w:numId="42">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0AD"/>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0EBA"/>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0FFF"/>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887"/>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9DC"/>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27C8"/>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17FFB"/>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0FE0"/>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58D"/>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BC6"/>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B3E"/>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4FB"/>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473"/>
    <w:rsid w:val="003A767C"/>
    <w:rsid w:val="003A7834"/>
    <w:rsid w:val="003B0086"/>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28"/>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4E1"/>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655"/>
    <w:rsid w:val="004F284E"/>
    <w:rsid w:val="004F2A8C"/>
    <w:rsid w:val="004F2CC4"/>
    <w:rsid w:val="004F2F7E"/>
    <w:rsid w:val="004F3195"/>
    <w:rsid w:val="004F31C4"/>
    <w:rsid w:val="004F3263"/>
    <w:rsid w:val="004F3276"/>
    <w:rsid w:val="004F32B5"/>
    <w:rsid w:val="004F365E"/>
    <w:rsid w:val="004F3940"/>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570"/>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AAA"/>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1D5E"/>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509"/>
    <w:rsid w:val="0062660B"/>
    <w:rsid w:val="00626AD1"/>
    <w:rsid w:val="00626EFD"/>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ABA"/>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1B6"/>
    <w:rsid w:val="006502B7"/>
    <w:rsid w:val="006504B8"/>
    <w:rsid w:val="006506AF"/>
    <w:rsid w:val="006508ED"/>
    <w:rsid w:val="00650A06"/>
    <w:rsid w:val="00650CDE"/>
    <w:rsid w:val="00650FAF"/>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5F4D"/>
    <w:rsid w:val="00656032"/>
    <w:rsid w:val="00656257"/>
    <w:rsid w:val="0065643E"/>
    <w:rsid w:val="00656742"/>
    <w:rsid w:val="006569D5"/>
    <w:rsid w:val="006570C9"/>
    <w:rsid w:val="006571F6"/>
    <w:rsid w:val="0065775C"/>
    <w:rsid w:val="006608AB"/>
    <w:rsid w:val="006608F8"/>
    <w:rsid w:val="006609AA"/>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053"/>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25"/>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862"/>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082"/>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885"/>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4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18D"/>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4A"/>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0C9"/>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0BA"/>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899"/>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401"/>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54C"/>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AE6"/>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38F"/>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60B"/>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9CE"/>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3CF9"/>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1A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47B"/>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19B"/>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5DB4"/>
    <w:rsid w:val="00A1601C"/>
    <w:rsid w:val="00A16424"/>
    <w:rsid w:val="00A16471"/>
    <w:rsid w:val="00A165BF"/>
    <w:rsid w:val="00A16E04"/>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28B"/>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6B24"/>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1E9"/>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0C"/>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39"/>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89F"/>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881"/>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81"/>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70E"/>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390"/>
    <w:rsid w:val="00CC24BB"/>
    <w:rsid w:val="00CC29EF"/>
    <w:rsid w:val="00CC2CA1"/>
    <w:rsid w:val="00CC2D14"/>
    <w:rsid w:val="00CC2EA0"/>
    <w:rsid w:val="00CC2F60"/>
    <w:rsid w:val="00CC3276"/>
    <w:rsid w:val="00CC3A23"/>
    <w:rsid w:val="00CC3ACA"/>
    <w:rsid w:val="00CC3D59"/>
    <w:rsid w:val="00CC3D72"/>
    <w:rsid w:val="00CC3DC3"/>
    <w:rsid w:val="00CC4343"/>
    <w:rsid w:val="00CC438E"/>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1B"/>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1E3E"/>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3EC5"/>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0F"/>
    <w:rsid w:val="00D866AB"/>
    <w:rsid w:val="00D86858"/>
    <w:rsid w:val="00D86B25"/>
    <w:rsid w:val="00D86F3F"/>
    <w:rsid w:val="00D87175"/>
    <w:rsid w:val="00D8738A"/>
    <w:rsid w:val="00D87851"/>
    <w:rsid w:val="00D8798A"/>
    <w:rsid w:val="00D87ABF"/>
    <w:rsid w:val="00D87D17"/>
    <w:rsid w:val="00D87F1D"/>
    <w:rsid w:val="00D87FC9"/>
    <w:rsid w:val="00D9005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392"/>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90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5B2"/>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2EA"/>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120"/>
    <w:rsid w:val="00F31217"/>
    <w:rsid w:val="00F312EF"/>
    <w:rsid w:val="00F3139E"/>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D00"/>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1EB"/>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279"/>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77FEF"/>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E1B"/>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985"/>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C97"/>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1D0C"/>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 w:type="paragraph" w:customStyle="1" w:styleId="DECISION">
    <w:name w:val="DECISION"/>
    <w:basedOn w:val="a0"/>
    <w:rsid w:val="00020EBA"/>
    <w:pPr>
      <w:widowControl w:val="0"/>
      <w:numPr>
        <w:numId w:val="40"/>
      </w:numPr>
      <w:overflowPunct w:val="0"/>
      <w:snapToGrid/>
      <w:spacing w:before="120"/>
      <w:textAlignment w:val="baseline"/>
    </w:pPr>
    <w:rPr>
      <w:rFonts w:ascii="Arial" w:eastAsia="Yu Mincho" w:hAnsi="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59695190">
      <w:bodyDiv w:val="1"/>
      <w:marLeft w:val="0"/>
      <w:marRight w:val="0"/>
      <w:marTop w:val="0"/>
      <w:marBottom w:val="0"/>
      <w:divBdr>
        <w:top w:val="none" w:sz="0" w:space="0" w:color="auto"/>
        <w:left w:val="none" w:sz="0" w:space="0" w:color="auto"/>
        <w:bottom w:val="none" w:sz="0" w:space="0" w:color="auto"/>
        <w:right w:val="none" w:sz="0" w:space="0" w:color="auto"/>
      </w:divBdr>
      <w:divsChild>
        <w:div w:id="234168590">
          <w:marLeft w:val="0"/>
          <w:marRight w:val="75"/>
          <w:marTop w:val="0"/>
          <w:marBottom w:val="0"/>
          <w:divBdr>
            <w:top w:val="none" w:sz="0" w:space="0" w:color="auto"/>
            <w:left w:val="none" w:sz="0" w:space="0" w:color="auto"/>
            <w:bottom w:val="none" w:sz="0" w:space="0" w:color="auto"/>
            <w:right w:val="none" w:sz="0" w:space="0" w:color="auto"/>
          </w:divBdr>
        </w:div>
        <w:div w:id="114643698">
          <w:marLeft w:val="0"/>
          <w:marRight w:val="0"/>
          <w:marTop w:val="0"/>
          <w:marBottom w:val="0"/>
          <w:divBdr>
            <w:top w:val="none" w:sz="0" w:space="0" w:color="auto"/>
            <w:left w:val="none" w:sz="0" w:space="0" w:color="auto"/>
            <w:bottom w:val="none" w:sz="0" w:space="0" w:color="auto"/>
            <w:right w:val="none" w:sz="0" w:space="0" w:color="auto"/>
          </w:divBdr>
          <w:divsChild>
            <w:div w:id="17489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29581654">
      <w:bodyDiv w:val="1"/>
      <w:marLeft w:val="0"/>
      <w:marRight w:val="0"/>
      <w:marTop w:val="0"/>
      <w:marBottom w:val="0"/>
      <w:divBdr>
        <w:top w:val="none" w:sz="0" w:space="0" w:color="auto"/>
        <w:left w:val="none" w:sz="0" w:space="0" w:color="auto"/>
        <w:bottom w:val="none" w:sz="0" w:space="0" w:color="auto"/>
        <w:right w:val="none" w:sz="0" w:space="0" w:color="auto"/>
      </w:divBdr>
      <w:divsChild>
        <w:div w:id="1982299988">
          <w:marLeft w:val="0"/>
          <w:marRight w:val="0"/>
          <w:marTop w:val="0"/>
          <w:marBottom w:val="0"/>
          <w:divBdr>
            <w:top w:val="none" w:sz="0" w:space="0" w:color="auto"/>
            <w:left w:val="none" w:sz="0" w:space="0" w:color="auto"/>
            <w:bottom w:val="none" w:sz="0" w:space="0" w:color="auto"/>
            <w:right w:val="none" w:sz="0" w:space="0" w:color="auto"/>
          </w:divBdr>
        </w:div>
      </w:divsChild>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FA0D7-C8A6-4544-AD15-D921C058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3676</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79</cp:revision>
  <cp:lastPrinted>2015-03-27T14:25:00Z</cp:lastPrinted>
  <dcterms:created xsi:type="dcterms:W3CDTF">2022-10-31T10:12:00Z</dcterms:created>
  <dcterms:modified xsi:type="dcterms:W3CDTF">2023-05-11T02:44:00Z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